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lang w:val="uk-UA"/>
        </w:rPr>
        <w:t xml:space="preserve">                   </w:t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276"/>
        <w:gridCol w:w="6294"/>
      </w:tblGrid>
      <w:tr>
        <w:trPr>
          <w:trHeight w:val="660" w:hRule="atLeast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i/>
                <w:i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Назва дисципліни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Податкове право</w:t>
            </w:r>
          </w:p>
        </w:tc>
      </w:tr>
      <w:tr>
        <w:trPr/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Cs/>
                <w:lang w:val="uk-UA"/>
              </w:rPr>
              <w:t xml:space="preserve">Викладач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Ковальчук Інна Валентинівна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кандидат юридичних наук,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доцент кафедри публічно-правових дисциплін</w:t>
            </w:r>
          </w:p>
        </w:tc>
      </w:tr>
      <w:tr>
        <w:trPr/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bCs/>
                <w:lang w:val="uk-UA"/>
              </w:rPr>
            </w:pPr>
            <w:r>
              <w:rPr>
                <w:rFonts w:eastAsia="Times New Roman" w:cs="Times New Roman" w:ascii="Times New Roman" w:hAnsi="Times New Roman"/>
                <w:bCs/>
                <w:lang w:val="uk-UA"/>
              </w:rPr>
              <w:t>Курс та семестр,  у якому планується  вивчення дисципліни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 xml:space="preserve">4 курс, 2 семестр </w:t>
            </w:r>
          </w:p>
        </w:tc>
      </w:tr>
      <w:tr>
        <w:trPr/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i/>
                <w:i/>
                <w:lang w:val="uk-UA"/>
              </w:rPr>
            </w:pPr>
            <w:r>
              <w:rPr>
                <w:rFonts w:eastAsia="Times New Roman" w:cs="Times New Roman" w:ascii="Times New Roman" w:hAnsi="Times New Roman"/>
                <w:bCs/>
                <w:lang w:val="uk-UA"/>
              </w:rPr>
              <w:t>Факультети, студентам яких пропонується вивчати дисципліну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 xml:space="preserve">Факультет права та лінгвістики 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</w:tc>
      </w:tr>
      <w:tr>
        <w:trPr/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bCs/>
                <w:lang w:val="uk-UA"/>
              </w:rPr>
            </w:pPr>
            <w:r>
              <w:rPr>
                <w:rFonts w:eastAsia="Times New Roman" w:cs="Times New Roman" w:ascii="Times New Roman" w:hAnsi="Times New Roman"/>
                <w:bCs/>
                <w:lang w:val="uk-UA"/>
              </w:rPr>
              <w:t>Перелік компетентностей та відповідних результатів навчання, що забезпечує дисципліна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 xml:space="preserve">Результатом навчання дисципліні є набуття студентами таких знань і умінь: 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i/>
                <w:i/>
                <w:lang w:val="uk-UA"/>
              </w:rPr>
            </w:pPr>
            <w:r>
              <w:rPr>
                <w:rFonts w:eastAsia="Times New Roman" w:cs="Times New Roman" w:ascii="Times New Roman" w:hAnsi="Times New Roman"/>
                <w:i/>
                <w:lang w:val="uk-UA"/>
              </w:rPr>
              <w:t>Знання: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предметної області та розуміння професійної діяльності; особливостей реалізації та застосування норм матеріального і процесуального права;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основ правового регулювання обігу публічних грошових коштів;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основних сучасних правових доктрин, цінностей та принципів функціонування національної правової системи;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сутності та змісту основних правових інститутів і норм фундаментальних галузей права;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Calibri" w:cs="Times New Roman" w:ascii="Times New Roman" w:hAnsi="Times New Roman"/>
                <w:lang w:val="uk-UA"/>
              </w:rPr>
              <w:t>особливостей правового регулювання податкових відносин;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Calibri" w:cs="Times New Roman" w:ascii="Times New Roman" w:hAnsi="Times New Roman"/>
                <w:lang w:val="uk-UA"/>
              </w:rPr>
              <w:t>специфіки здійснення податкового контролю в Україні;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Calibri" w:cs="Times New Roman" w:ascii="Times New Roman" w:hAnsi="Times New Roman"/>
                <w:lang w:val="uk-UA"/>
              </w:rPr>
              <w:t>особливостей державного контролю у сфері оподаткування.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i/>
                <w:i/>
                <w:lang w:val="uk-UA"/>
              </w:rPr>
            </w:pPr>
            <w:r>
              <w:rPr>
                <w:rFonts w:eastAsia="Times New Roman" w:cs="Times New Roman" w:ascii="Times New Roman" w:hAnsi="Times New Roman"/>
                <w:i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i/>
                <w:i/>
                <w:lang w:val="uk-UA"/>
              </w:rPr>
            </w:pPr>
            <w:r>
              <w:rPr>
                <w:rFonts w:eastAsia="Times New Roman" w:cs="Times New Roman" w:ascii="Times New Roman" w:hAnsi="Times New Roman"/>
                <w:i/>
                <w:lang w:val="uk-UA"/>
              </w:rPr>
              <w:t>Вміння: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визначати належні та прийнятні для юридичного аналізу факти;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аналізувати правові проблеми,   формувати та обґрунтовувати  правові позиції;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самостійної підготовки проектів актів правозастосування;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проводити збір і інтегрований аналіз матеріалів з різних джерел;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давати короткий висновок щодо окремих фактичних обставин з достатньою обґрунтованістю;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належно використовувати  статистичну інформацію, отриману з першоджерел та вторинних джерел для своєї професійної діяльності;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готувати проекти необхідних актів застосування права відповідно до правового висновку зробленого у різних правових ситуаціях.</w:t>
            </w:r>
          </w:p>
        </w:tc>
      </w:tr>
      <w:tr>
        <w:trPr>
          <w:trHeight w:val="603" w:hRule="atLeast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i/>
                <w:i/>
                <w:lang w:val="uk-UA"/>
              </w:rPr>
            </w:pPr>
            <w:r>
              <w:rPr>
                <w:rFonts w:eastAsia="Times New Roman" w:cs="Times New Roman" w:ascii="Times New Roman" w:hAnsi="Times New Roman"/>
                <w:bCs/>
                <w:lang w:val="uk-UA"/>
              </w:rPr>
              <w:t>Опис дисципліни</w:t>
            </w:r>
          </w:p>
        </w:tc>
      </w:tr>
      <w:tr>
        <w:trPr/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bCs/>
                <w:lang w:val="uk-UA"/>
              </w:rPr>
            </w:pPr>
            <w:r>
              <w:rPr>
                <w:rFonts w:eastAsia="Times New Roman" w:cs="Times New Roman" w:ascii="Times New Roman" w:hAnsi="Times New Roman"/>
                <w:bCs/>
                <w:lang w:val="uk-UA"/>
              </w:rPr>
              <w:t>Попередні умови, необхідні для вивчення дисципліни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bCs/>
                <w:lang w:val="uk-UA"/>
              </w:rPr>
            </w:pPr>
            <w:r>
              <w:rPr>
                <w:rFonts w:eastAsia="Times New Roman" w:cs="Times New Roman" w:ascii="Times New Roman" w:hAnsi="Times New Roman"/>
                <w:bCs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 xml:space="preserve">Максимальна кількість студентів, які можуть одночасно навчатися 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bCs/>
                <w:lang w:val="uk-UA"/>
              </w:rPr>
            </w:pPr>
            <w:r>
              <w:rPr>
                <w:rFonts w:eastAsia="Times New Roman" w:cs="Times New Roman" w:ascii="Times New Roman" w:hAnsi="Times New Roman"/>
                <w:bCs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bCs/>
                <w:lang w:val="uk-UA"/>
              </w:rPr>
            </w:pPr>
            <w:r>
              <w:rPr>
                <w:rFonts w:eastAsia="Times New Roman" w:cs="Times New Roman" w:ascii="Times New Roman" w:hAnsi="Times New Roman"/>
                <w:bCs/>
                <w:lang w:val="uk-UA"/>
              </w:rPr>
              <w:t xml:space="preserve">Теми аудиторних занять 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bCs/>
                <w:lang w:val="uk-UA"/>
              </w:rPr>
            </w:pPr>
            <w:r>
              <w:rPr>
                <w:rFonts w:eastAsia="Times New Roman" w:cs="Times New Roman" w:ascii="Times New Roman" w:hAnsi="Times New Roman"/>
                <w:bCs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bCs/>
                <w:lang w:val="uk-UA"/>
              </w:rPr>
            </w:pPr>
            <w:r>
              <w:rPr>
                <w:rFonts w:eastAsia="Times New Roman" w:cs="Times New Roman" w:ascii="Times New Roman" w:hAnsi="Times New Roman"/>
                <w:bCs/>
                <w:lang w:val="uk-UA"/>
              </w:rPr>
              <w:t>Мова викладання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i/>
                <w:i/>
                <w:lang w:val="uk-UA"/>
              </w:rPr>
            </w:pPr>
            <w:r>
              <w:rPr>
                <w:rFonts w:eastAsia="Times New Roman" w:cs="Times New Roman" w:ascii="Times New Roman" w:hAnsi="Times New Roman"/>
                <w:i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Немає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75 студентів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Теми лекцій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1. Основи загальної теорії податків: сутність і правова природа податків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2. Правові основи податкової системи України.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3. Податкове право як галузь права України.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4. Уникнення подвійного оподаткування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5. Правові основи адміністрування податків в Україні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6. Гарантії забезпечення виконання податкового зобов'язання і погашення податкового боргу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7. Відповідальність за невиконання вимог податкового зобов’язання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8. Податок на прибуток підприємств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9. Податок на доходи фізичних осіб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10. Податок на нерухоме майно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11. Податок на додану вартість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 xml:space="preserve">Тема 12. Акцизний податок 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13. Правове регулювання сплати мита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Теми практичних занять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1. Основи загальної теорії податків: сутність і правова природа податків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2. Правові основи податкової системи України.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3. Податкове право як галузь права України.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4. Уникнення подвійного оподаткування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5. Правові основи адміністрування податків в Україні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6. Гарантії забезпечення виконання податкового зобов'язання і погашення податкового боргу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7. Відповідальність за невиконання вимог податкового зобов’язання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8. Податок на прибуток підприємств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9. Податок на доходи фізичних осіб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10. Податок на нерухоме майно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11. Податок на додану вартість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 xml:space="preserve">Тема 12. Акцизний податок 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13. Правове регулювання сплати мита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i/>
                <w:i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Українська, англійська</w:t>
            </w:r>
          </w:p>
        </w:tc>
      </w:tr>
    </w:tbl>
    <w:p>
      <w:pPr>
        <w:pStyle w:val="Normal"/>
        <w:rPr>
          <w:rFonts w:ascii="Calibri" w:hAnsi="Calibri"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</w:r>
    </w:p>
    <w:p>
      <w:pPr>
        <w:pStyle w:val="Normal"/>
        <w:rPr>
          <w:rFonts w:ascii="Calibri" w:hAnsi="Calibri"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</w:r>
    </w:p>
    <w:p>
      <w:pPr>
        <w:pStyle w:val="Normal"/>
        <w:rPr>
          <w:rFonts w:ascii="Calibri" w:hAnsi="Calibri"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</w:r>
    </w:p>
    <w:p>
      <w:pPr>
        <w:pStyle w:val="Normal"/>
        <w:rPr>
          <w:rFonts w:ascii="Calibri" w:hAnsi="Calibri"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</w:r>
    </w:p>
    <w:p>
      <w:pPr>
        <w:pStyle w:val="Normal"/>
        <w:spacing w:before="0" w:after="200"/>
        <w:rPr/>
      </w:pPr>
      <w:r>
        <w:rPr>
          <w:rFonts w:eastAsia="Times New Roman" w:cs="Times New Roman"/>
          <w:lang w:val="uk-UA"/>
        </w:rPr>
        <w:t xml:space="preserve">     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6c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unhideWhenUsed/>
    <w:rsid w:val="00c86a9a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6"/>
    <w:uiPriority w:val="1"/>
    <w:qFormat/>
    <w:rsid w:val="00ca214a"/>
    <w:rPr>
      <w:rFonts w:ascii="Times New Roman" w:hAnsi="Times New Roman" w:eastAsia="Times New Roman" w:cs="Times New Roman"/>
      <w:sz w:val="16"/>
      <w:szCs w:val="16"/>
      <w:lang w:val="uk-UA" w:eastAsia="uk-UA" w:bidi="uk-UA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94708a"/>
    <w:rPr/>
  </w:style>
  <w:style w:type="character" w:styleId="72" w:customStyle="1">
    <w:name w:val="72"/>
    <w:basedOn w:val="DefaultParagraphFont"/>
    <w:qFormat/>
    <w:rsid w:val="00157f56"/>
    <w:rPr/>
  </w:style>
  <w:style w:type="character" w:styleId="720" w:customStyle="1">
    <w:name w:val="720"/>
    <w:basedOn w:val="DefaultParagraphFont"/>
    <w:qFormat/>
    <w:rsid w:val="00157f56"/>
    <w:rPr/>
  </w:style>
  <w:style w:type="character" w:styleId="ListLabel1">
    <w:name w:val="ListLabel 1"/>
    <w:qFormat/>
    <w:rPr>
      <w:rFonts w:eastAsia="Times New Roman" w:cs="Times New Roman"/>
      <w:w w:val="103"/>
      <w:sz w:val="16"/>
      <w:szCs w:val="16"/>
      <w:lang w:val="uk-UA" w:eastAsia="uk-UA" w:bidi="uk-UA"/>
    </w:rPr>
  </w:style>
  <w:style w:type="character" w:styleId="ListLabel2">
    <w:name w:val="ListLabel 2"/>
    <w:qFormat/>
    <w:rPr>
      <w:lang w:val="uk-UA" w:eastAsia="uk-UA" w:bidi="uk-UA"/>
    </w:rPr>
  </w:style>
  <w:style w:type="character" w:styleId="ListLabel3">
    <w:name w:val="ListLabel 3"/>
    <w:qFormat/>
    <w:rPr>
      <w:lang w:val="uk-UA" w:eastAsia="uk-UA" w:bidi="uk-UA"/>
    </w:rPr>
  </w:style>
  <w:style w:type="character" w:styleId="ListLabel4">
    <w:name w:val="ListLabel 4"/>
    <w:qFormat/>
    <w:rPr>
      <w:lang w:val="uk-UA" w:eastAsia="uk-UA" w:bidi="uk-UA"/>
    </w:rPr>
  </w:style>
  <w:style w:type="character" w:styleId="ListLabel5">
    <w:name w:val="ListLabel 5"/>
    <w:qFormat/>
    <w:rPr>
      <w:lang w:val="uk-UA" w:eastAsia="uk-UA" w:bidi="uk-UA"/>
    </w:rPr>
  </w:style>
  <w:style w:type="character" w:styleId="ListLabel6">
    <w:name w:val="ListLabel 6"/>
    <w:qFormat/>
    <w:rPr>
      <w:lang w:val="uk-UA" w:eastAsia="uk-UA" w:bidi="uk-UA"/>
    </w:rPr>
  </w:style>
  <w:style w:type="character" w:styleId="ListLabel7">
    <w:name w:val="ListLabel 7"/>
    <w:qFormat/>
    <w:rPr>
      <w:lang w:val="uk-UA" w:eastAsia="uk-UA" w:bidi="uk-UA"/>
    </w:rPr>
  </w:style>
  <w:style w:type="character" w:styleId="ListLabel8">
    <w:name w:val="ListLabel 8"/>
    <w:qFormat/>
    <w:rPr>
      <w:lang w:val="uk-UA" w:eastAsia="uk-UA" w:bidi="uk-UA"/>
    </w:rPr>
  </w:style>
  <w:style w:type="character" w:styleId="ListLabel9">
    <w:name w:val="ListLabel 9"/>
    <w:qFormat/>
    <w:rPr>
      <w:lang w:val="uk-UA" w:eastAsia="uk-UA" w:bidi="uk-UA"/>
    </w:rPr>
  </w:style>
  <w:style w:type="character" w:styleId="ListLabel10">
    <w:name w:val="ListLabel 10"/>
    <w:qFormat/>
    <w:rPr>
      <w:rFonts w:eastAsia="Times New Roman" w:cs="Times New Roman"/>
      <w:w w:val="103"/>
      <w:sz w:val="16"/>
      <w:szCs w:val="16"/>
      <w:lang w:val="uk-UA" w:eastAsia="uk-UA" w:bidi="uk-UA"/>
    </w:rPr>
  </w:style>
  <w:style w:type="character" w:styleId="ListLabel11">
    <w:name w:val="ListLabel 11"/>
    <w:qFormat/>
    <w:rPr>
      <w:lang w:val="uk-UA" w:eastAsia="uk-UA" w:bidi="uk-UA"/>
    </w:rPr>
  </w:style>
  <w:style w:type="character" w:styleId="ListLabel12">
    <w:name w:val="ListLabel 12"/>
    <w:qFormat/>
    <w:rPr>
      <w:lang w:val="uk-UA" w:eastAsia="uk-UA" w:bidi="uk-UA"/>
    </w:rPr>
  </w:style>
  <w:style w:type="character" w:styleId="ListLabel13">
    <w:name w:val="ListLabel 13"/>
    <w:qFormat/>
    <w:rPr>
      <w:lang w:val="uk-UA" w:eastAsia="uk-UA" w:bidi="uk-UA"/>
    </w:rPr>
  </w:style>
  <w:style w:type="character" w:styleId="ListLabel14">
    <w:name w:val="ListLabel 14"/>
    <w:qFormat/>
    <w:rPr>
      <w:lang w:val="uk-UA" w:eastAsia="uk-UA" w:bidi="uk-UA"/>
    </w:rPr>
  </w:style>
  <w:style w:type="character" w:styleId="ListLabel15">
    <w:name w:val="ListLabel 15"/>
    <w:qFormat/>
    <w:rPr>
      <w:lang w:val="uk-UA" w:eastAsia="uk-UA" w:bidi="uk-UA"/>
    </w:rPr>
  </w:style>
  <w:style w:type="character" w:styleId="ListLabel16">
    <w:name w:val="ListLabel 16"/>
    <w:qFormat/>
    <w:rPr>
      <w:lang w:val="uk-UA" w:eastAsia="uk-UA" w:bidi="uk-UA"/>
    </w:rPr>
  </w:style>
  <w:style w:type="character" w:styleId="ListLabel17">
    <w:name w:val="ListLabel 17"/>
    <w:qFormat/>
    <w:rPr>
      <w:lang w:val="uk-UA" w:eastAsia="uk-UA" w:bidi="uk-UA"/>
    </w:rPr>
  </w:style>
  <w:style w:type="character" w:styleId="ListLabel18">
    <w:name w:val="ListLabel 18"/>
    <w:qFormat/>
    <w:rPr>
      <w:lang w:val="uk-UA" w:eastAsia="uk-UA" w:bidi="uk-UA"/>
    </w:rPr>
  </w:style>
  <w:style w:type="character" w:styleId="ListLabel19">
    <w:name w:val="ListLabel 19"/>
    <w:qFormat/>
    <w:rPr>
      <w:rFonts w:eastAsia="Times New Roman" w:cs="Times New Roman"/>
      <w:w w:val="103"/>
      <w:sz w:val="16"/>
      <w:szCs w:val="16"/>
      <w:lang w:val="uk-UA" w:eastAsia="uk-UA" w:bidi="uk-UA"/>
    </w:rPr>
  </w:style>
  <w:style w:type="character" w:styleId="ListLabel20">
    <w:name w:val="ListLabel 20"/>
    <w:qFormat/>
    <w:rPr>
      <w:lang w:val="uk-UA" w:eastAsia="uk-UA" w:bidi="uk-UA"/>
    </w:rPr>
  </w:style>
  <w:style w:type="character" w:styleId="ListLabel21">
    <w:name w:val="ListLabel 21"/>
    <w:qFormat/>
    <w:rPr>
      <w:lang w:val="uk-UA" w:eastAsia="uk-UA" w:bidi="uk-UA"/>
    </w:rPr>
  </w:style>
  <w:style w:type="character" w:styleId="ListLabel22">
    <w:name w:val="ListLabel 22"/>
    <w:qFormat/>
    <w:rPr>
      <w:lang w:val="uk-UA" w:eastAsia="uk-UA" w:bidi="uk-UA"/>
    </w:rPr>
  </w:style>
  <w:style w:type="character" w:styleId="ListLabel23">
    <w:name w:val="ListLabel 23"/>
    <w:qFormat/>
    <w:rPr>
      <w:lang w:val="uk-UA" w:eastAsia="uk-UA" w:bidi="uk-UA"/>
    </w:rPr>
  </w:style>
  <w:style w:type="character" w:styleId="ListLabel24">
    <w:name w:val="ListLabel 24"/>
    <w:qFormat/>
    <w:rPr>
      <w:lang w:val="uk-UA" w:eastAsia="uk-UA" w:bidi="uk-UA"/>
    </w:rPr>
  </w:style>
  <w:style w:type="character" w:styleId="ListLabel25">
    <w:name w:val="ListLabel 25"/>
    <w:qFormat/>
    <w:rPr>
      <w:lang w:val="uk-UA" w:eastAsia="uk-UA" w:bidi="uk-UA"/>
    </w:rPr>
  </w:style>
  <w:style w:type="character" w:styleId="ListLabel26">
    <w:name w:val="ListLabel 26"/>
    <w:qFormat/>
    <w:rPr>
      <w:lang w:val="uk-UA" w:eastAsia="uk-UA" w:bidi="uk-UA"/>
    </w:rPr>
  </w:style>
  <w:style w:type="character" w:styleId="ListLabel27">
    <w:name w:val="ListLabel 27"/>
    <w:qFormat/>
    <w:rPr>
      <w:lang w:val="uk-UA" w:eastAsia="uk-UA" w:bidi="uk-UA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ascii="Times New Roman" w:hAnsi="Times New Roman"/>
      <w:b/>
      <w:sz w:val="24"/>
    </w:rPr>
  </w:style>
  <w:style w:type="character" w:styleId="ListLabel36">
    <w:name w:val="ListLabel 36"/>
    <w:qFormat/>
    <w:rPr>
      <w:rFonts w:ascii="Times New Roman" w:hAnsi="Times New Roman"/>
      <w:b/>
      <w:sz w:val="24"/>
    </w:rPr>
  </w:style>
  <w:style w:type="character" w:styleId="ListLabel37">
    <w:name w:val="ListLabel 37"/>
    <w:qFormat/>
    <w:rPr>
      <w:rFonts w:ascii="Times New Roman" w:hAnsi="Times New Roman" w:cs=""/>
      <w:sz w:val="24"/>
    </w:rPr>
  </w:style>
  <w:style w:type="character" w:styleId="ListLabel38">
    <w:name w:val="ListLabel 38"/>
    <w:qFormat/>
    <w:rPr>
      <w:rFonts w:ascii="Times New Roman" w:hAnsi="Times New Roman" w:cs=""/>
      <w:sz w:val="24"/>
    </w:rPr>
  </w:style>
  <w:style w:type="character" w:styleId="ListLabel39">
    <w:name w:val="ListLabel 39"/>
    <w:qFormat/>
    <w:rPr>
      <w:rFonts w:ascii="Times New Roman" w:hAnsi="Times New Roman" w:cs=""/>
      <w:b/>
      <w:color w:val="000000"/>
      <w:sz w:val="24"/>
    </w:rPr>
  </w:style>
  <w:style w:type="character" w:styleId="ListLabel40">
    <w:name w:val="ListLabel 40"/>
    <w:qFormat/>
    <w:rPr>
      <w:color w:val="000000"/>
    </w:rPr>
  </w:style>
  <w:style w:type="character" w:styleId="ListLabel41">
    <w:name w:val="ListLabel 41"/>
    <w:qFormat/>
    <w:rPr>
      <w:rFonts w:ascii="Times New Roman" w:hAnsi="Times New Roman" w:cs="Times New Roman"/>
      <w:color w:val="auto"/>
      <w:u w:val="none"/>
      <w:lang w:val="uk-U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uiPriority w:val="1"/>
    <w:qFormat/>
    <w:rsid w:val="00ca214a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16"/>
      <w:szCs w:val="16"/>
      <w:lang w:val="uk-UA" w:eastAsia="uk-UA" w:bidi="uk-UA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c86a9a"/>
    <w:pPr>
      <w:widowControl w:val="false"/>
      <w:spacing w:lineRule="auto" w:line="240" w:before="0" w:after="0"/>
      <w:ind w:left="72" w:hanging="0"/>
    </w:pPr>
    <w:rPr>
      <w:rFonts w:ascii="Times New Roman" w:hAnsi="Times New Roman" w:eastAsia="Times New Roman" w:cs="Times New Roman"/>
      <w:lang w:val="uk-UA" w:eastAsia="uk-UA" w:bidi="uk-UA"/>
    </w:rPr>
  </w:style>
  <w:style w:type="paragraph" w:styleId="NoSpacing">
    <w:name w:val="No Spacing"/>
    <w:uiPriority w:val="1"/>
    <w:qFormat/>
    <w:rsid w:val="00c86a9a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86a9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Знак Знак Знак Знак"/>
    <w:basedOn w:val="Normal"/>
    <w:qFormat/>
    <w:rsid w:val="00db3867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94708a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157f56"/>
    <w:pPr>
      <w:spacing w:before="0" w:after="200"/>
      <w:ind w:left="720" w:hanging="0"/>
      <w:contextualSpacing/>
    </w:pPr>
    <w:rPr/>
  </w:style>
  <w:style w:type="paragraph" w:styleId="71" w:customStyle="1">
    <w:name w:val="71"/>
    <w:basedOn w:val="Normal"/>
    <w:qFormat/>
    <w:rsid w:val="00157f5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470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LibreOffice/6.1.4.2$Windows_x86 LibreOffice_project/9d0f32d1f0b509096fd65e0d4bec26ddd1938fd3</Application>
  <Pages>2</Pages>
  <Words>404</Words>
  <Characters>2799</Characters>
  <CharactersWithSpaces>3218</CharactersWithSpaces>
  <Paragraphs>66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2019-07-07T08:20:00Z</dcterms:created>
  <dc:creator>artur</dc:creator>
  <dc:description/>
  <dc:language>uk-UA</dc:language>
  <cp:lastModifiedBy/>
  <dcterms:modified xsi:type="dcterms:W3CDTF">2019-10-26T13:38:04Z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