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516890</wp:posOffset>
            </wp:positionH>
            <wp:positionV relativeFrom="page">
              <wp:posOffset>1604645</wp:posOffset>
            </wp:positionV>
            <wp:extent cx="916305" cy="1022350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5867400</wp:posOffset>
            </wp:positionH>
            <wp:positionV relativeFrom="page">
              <wp:posOffset>711200</wp:posOffset>
            </wp:positionV>
            <wp:extent cx="891540" cy="1006475"/>
            <wp:effectExtent l="0" t="0" r="0" b="0"/>
            <wp:wrapSquare wrapText="largest"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4777740</wp:posOffset>
            </wp:positionH>
            <wp:positionV relativeFrom="page">
              <wp:posOffset>706120</wp:posOffset>
            </wp:positionV>
            <wp:extent cx="995680" cy="1037590"/>
            <wp:effectExtent l="0" t="0" r="0" b="0"/>
            <wp:wrapSquare wrapText="largest"/>
            <wp:docPr id="3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3733800</wp:posOffset>
            </wp:positionH>
            <wp:positionV relativeFrom="page">
              <wp:posOffset>1812925</wp:posOffset>
            </wp:positionV>
            <wp:extent cx="873760" cy="817880"/>
            <wp:effectExtent l="0" t="0" r="0" b="0"/>
            <wp:wrapSquare wrapText="largest"/>
            <wp:docPr id="4" name="Зображенн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2734310</wp:posOffset>
            </wp:positionH>
            <wp:positionV relativeFrom="page">
              <wp:posOffset>749300</wp:posOffset>
            </wp:positionV>
            <wp:extent cx="890270" cy="991235"/>
            <wp:effectExtent l="0" t="0" r="0" b="0"/>
            <wp:wrapSquare wrapText="largest"/>
            <wp:docPr id="5" name="Зображенн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1684020</wp:posOffset>
            </wp:positionH>
            <wp:positionV relativeFrom="page">
              <wp:posOffset>713105</wp:posOffset>
            </wp:positionV>
            <wp:extent cx="838835" cy="945515"/>
            <wp:effectExtent l="0" t="0" r="0" b="0"/>
            <wp:wrapSquare wrapText="largest"/>
            <wp:docPr id="6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2545080</wp:posOffset>
            </wp:positionH>
            <wp:positionV relativeFrom="page">
              <wp:posOffset>1739900</wp:posOffset>
            </wp:positionV>
            <wp:extent cx="957580" cy="907415"/>
            <wp:effectExtent l="0" t="0" r="0" b="0"/>
            <wp:wrapSquare wrapText="largest"/>
            <wp:docPr id="7" name="Зображення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ображення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4693920</wp:posOffset>
            </wp:positionH>
            <wp:positionV relativeFrom="page">
              <wp:posOffset>1825625</wp:posOffset>
            </wp:positionV>
            <wp:extent cx="988060" cy="930275"/>
            <wp:effectExtent l="0" t="0" r="0" b="0"/>
            <wp:wrapSquare wrapText="largest"/>
            <wp:docPr id="8" name="Зображення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ображення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3623945</wp:posOffset>
            </wp:positionH>
            <wp:positionV relativeFrom="page">
              <wp:posOffset>749300</wp:posOffset>
            </wp:positionV>
            <wp:extent cx="1057275" cy="1029335"/>
            <wp:effectExtent l="0" t="0" r="0" b="0"/>
            <wp:wrapSquare wrapText="largest"/>
            <wp:docPr id="9" name="Зображення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ображення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5814060</wp:posOffset>
            </wp:positionH>
            <wp:positionV relativeFrom="page">
              <wp:posOffset>1832610</wp:posOffset>
            </wp:positionV>
            <wp:extent cx="1082675" cy="906780"/>
            <wp:effectExtent l="0" t="0" r="0" b="0"/>
            <wp:wrapSquare wrapText="bothSides"/>
            <wp:docPr id="10" name="Зображення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ображення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1432560</wp:posOffset>
            </wp:positionH>
            <wp:positionV relativeFrom="page">
              <wp:posOffset>1713230</wp:posOffset>
            </wp:positionV>
            <wp:extent cx="1044575" cy="913765"/>
            <wp:effectExtent l="0" t="0" r="0" b="0"/>
            <wp:wrapSquare wrapText="largest"/>
            <wp:docPr id="11" name="Зображення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Зображення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  <w:t xml:space="preserve">        </w:t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jc w:val="left"/>
        <w:rPr/>
      </w:pPr>
      <w:r>
        <w:rPr/>
        <w:t xml:space="preserve">                                                   </w:t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  <w:t xml:space="preserve">        </w:t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  <w:t xml:space="preserve">                      </w:t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jc w:val="both"/>
        <w:rPr/>
      </w:pPr>
      <w:r>
        <w:rPr/>
        <w:t xml:space="preserve">                                                         </w:t>
      </w:r>
      <w:r>
        <w:rPr>
          <w:rFonts w:eastAsia="Verdana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Білоцерківський національний аграрний університет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Сумський державний університет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Ужгородський національний університет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Дніпропетровський університет внутрішніх справ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Київський університет ім. Бориса Грінченка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Національний університет біоресурсів і природокористування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Науково-дослідний інститут публічного права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highlight w:val="yellow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u w:val="none"/>
          <w:lang w:val="uk-UA"/>
        </w:rPr>
        <w:t xml:space="preserve">Гомельський державний університет ім. Франциска Скорини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highlight w:val="yellow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u w:val="none"/>
          <w:lang w:val="uk-UA"/>
        </w:rPr>
        <w:t xml:space="preserve">Молдовський державний університет 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u w:val="none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Європейський інститут післядипломної освіти ГУС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ПОЛ м. Прага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>
          <w:b/>
          <w:b/>
          <w:bCs/>
          <w:sz w:val="24"/>
          <w:szCs w:val="24"/>
        </w:rPr>
      </w:pPr>
      <w:bookmarkStart w:id="0" w:name="__DdeLink__241_1229185924"/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Європейський інститут післядипломної освіти м. Братислава</w:t>
      </w:r>
      <w:bookmarkEnd w:id="0"/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</w:t>
      </w:r>
      <w:r>
        <w:rPr/>
        <w:drawing>
          <wp:inline distT="0" distB="0" distL="0" distR="0">
            <wp:extent cx="4739005" cy="2491105"/>
            <wp:effectExtent l="0" t="0" r="0" b="0"/>
            <wp:docPr id="12" name="Рисунок 1" descr="Картинки по запросу бн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 descr="Картинки по запросу бна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567" w:leader="none"/>
        </w:tabs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 xml:space="preserve">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567" w:leader="none"/>
        </w:tabs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u w:val="single"/>
          <w:lang w:val="uk-UA"/>
        </w:rPr>
        <w:t>МІЖНАРОДНА НАУКОВО-ПРАКТИЧНА КОНФЕРЕНЦІЯ</w:t>
      </w:r>
    </w:p>
    <w:p>
      <w:pPr>
        <w:pStyle w:val="Normal"/>
        <w:tabs>
          <w:tab w:val="clear" w:pos="720"/>
          <w:tab w:val="left" w:pos="567" w:leader="none"/>
        </w:tabs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u w:val="single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u w:val="single"/>
          <w:lang w:val="uk-UA"/>
        </w:rPr>
      </w:r>
    </w:p>
    <w:p>
      <w:pPr>
        <w:pStyle w:val="Normal"/>
        <w:tabs>
          <w:tab w:val="clear" w:pos="720"/>
          <w:tab w:val="left" w:pos="567" w:leader="none"/>
        </w:tabs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  <w:u w:val="single"/>
          <w:lang w:val="uk-UA"/>
        </w:rPr>
        <w:t>Гарантії забезпечення прав і свобод людини: національний та міжнародний досвід</w:t>
      </w:r>
      <w:bookmarkStart w:id="1" w:name="__DdeLink__131_2749553336"/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  <w:u w:val="single"/>
          <w:lang w:val="uk-UA"/>
        </w:rPr>
        <w:t>»</w:t>
      </w:r>
      <w:bookmarkEnd w:id="1"/>
    </w:p>
    <w:p>
      <w:pPr>
        <w:pStyle w:val="Normal"/>
        <w:tabs>
          <w:tab w:val="clear" w:pos="720"/>
          <w:tab w:val="left" w:pos="567" w:leader="none"/>
        </w:tabs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76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  <w:u w:val="none"/>
          <w:lang w:val="uk-UA"/>
        </w:rPr>
        <w:t xml:space="preserve">08-09 квітня 2020 </w:t>
      </w: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  <w:u w:val="none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highlight w:val="white"/>
          <w:u w:val="none"/>
          <w:lang w:val="uk-UA"/>
        </w:rPr>
        <w:t>року</w:t>
      </w:r>
    </w:p>
    <w:p>
      <w:pPr>
        <w:pStyle w:val="Normal"/>
        <w:tabs>
          <w:tab w:val="clear" w:pos="720"/>
          <w:tab w:val="left" w:pos="567" w:leader="none"/>
        </w:tabs>
        <w:spacing w:lineRule="auto" w:line="276"/>
        <w:jc w:val="left"/>
        <w:rPr/>
      </w:pPr>
      <w:r>
        <w:rPr/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567" w:leader="none"/>
        </w:tabs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м. Біла </w:t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lang w:val="ru-RU"/>
        </w:rPr>
        <w:t>Церк</w:t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lang w:val="uk-UA"/>
        </w:rPr>
        <w:t>ва - 2020</w:t>
      </w:r>
    </w:p>
    <w:p>
      <w:pPr>
        <w:pStyle w:val="Normal"/>
        <w:tabs>
          <w:tab w:val="clear" w:pos="720"/>
          <w:tab w:val="left" w:pos="567" w:leader="none"/>
        </w:tabs>
        <w:jc w:val="center"/>
        <w:rPr>
          <w:rFonts w:ascii="Times New Roman" w:hAnsi="Times New Roman" w:cs="Times New Roman"/>
          <w:i/>
          <w:i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i/>
          <w:color w:val="000000"/>
          <w:sz w:val="26"/>
          <w:szCs w:val="26"/>
          <w:lang w:val="uk-UA"/>
        </w:rPr>
      </w:r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Мета конференції: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Конференція проводиться з метою здійснення комплексного наукового розгляду сучасного правового стану гарантій забезпечення прав та свобод людини в Україні та світі з залученням зусиль науковців, аспірантів, здобувачів вищої освіти України та зарубіжних держав, а також представників правоохоронних органів та державного управління і місцевого самоврядування, громадських організацій та інших установ, які досліджують актуальні проблеми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стану гарантій 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highlight w:val="white"/>
          <w:u w:val="none"/>
          <w:lang w:val="uk-UA"/>
        </w:rPr>
        <w:t>забезпечення прав та свобод людини.</w:t>
      </w:r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  <w:lang w:val="uk-UA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</w:t>
      </w:r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Форма проведення: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очна, заочна.                        </w:t>
      </w:r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Мова конференції: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українська, білоруська, молдовська, англійська, російська, чеська, словацька.   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До участі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в Міжнародній науково-практичній конференції запрошуються науковці, аспіранти, здобувачі вищої освіти ЗВО, а також практичні працівники з України та зарубіжних держав, які активно займаються науковими дослідженнями актуальних проблем стану гарантій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u w:val="none"/>
          <w:lang w:val="uk-UA"/>
        </w:rPr>
        <w:t>забезпечення прав та свобод людини.</w:t>
      </w:r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У рамках конференції планується робота наступних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секцій:  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1. Органи публічної адміністрації, місцевого самоврядування як гаранти дотримання прав і свобод людини.</w:t>
      </w:r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2. </w:t>
      </w:r>
      <w:bookmarkStart w:id="2" w:name="__DdeLink__235_628107303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Кримінально-правові, кримінально-процесуальні засоби дотримання прав і свобод людини і громадянина.</w:t>
      </w:r>
      <w:bookmarkEnd w:id="2"/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3. Цивільно-правові, цивільно-процесуальні засоби дотримання прав і свобод людини і громадянина.</w:t>
      </w:r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4. Історико-правові та філософсько-гуманітарні аспекти гарантій дотримання прав та свобод людини і громадянина.</w:t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567" w:leader="none"/>
        </w:tabs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567" w:leader="none"/>
        </w:tabs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20"/>
          <w:tab w:val="left" w:pos="567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Особи, зацікавлені взяти участь у роботі міжнародної конференції мають надіслати  електронною поштою до організаційного комітету до 03 квітня 2020 р. наступні документи: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1) заповнену за зразком заяву;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2) тези доповіді;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Файли назвати за прикладом: Application_Ivanov.doc; Article_Ivanov.doc. У темі повідомлення вказати тему «Матеріали на конференцію 08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>.04.2020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».   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Заявка заповнюється на кожного співавтора окремо.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br/>
        <w:t xml:space="preserve">                          </w:t>
      </w:r>
    </w:p>
    <w:p>
      <w:pPr>
        <w:pStyle w:val="Normal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851" w:leader="none"/>
          <w:tab w:val="left" w:pos="1134" w:leader="none"/>
          <w:tab w:val="left" w:pos="1276" w:leader="none"/>
          <w:tab w:val="left" w:pos="1560" w:leader="none"/>
        </w:tabs>
        <w:spacing w:lineRule="auto" w:line="21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lang w:val="uk-UA"/>
        </w:rPr>
        <w:tab/>
      </w:r>
    </w:p>
    <w:p>
      <w:pPr>
        <w:pStyle w:val="Normal"/>
        <w:tabs>
          <w:tab w:val="clear" w:pos="720"/>
          <w:tab w:val="left" w:pos="567" w:leader="none"/>
          <w:tab w:val="left" w:pos="851" w:leader="none"/>
          <w:tab w:val="left" w:pos="1134" w:leader="none"/>
          <w:tab w:val="left" w:pos="1276" w:leader="none"/>
          <w:tab w:val="left" w:pos="1560" w:leader="none"/>
        </w:tabs>
        <w:spacing w:lineRule="auto" w:line="21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</w:p>
    <w:p>
      <w:pPr>
        <w:pStyle w:val="Normal"/>
        <w:tabs>
          <w:tab w:val="clear" w:pos="720"/>
          <w:tab w:val="left" w:pos="567" w:leader="none"/>
          <w:tab w:val="left" w:pos="851" w:leader="none"/>
          <w:tab w:val="left" w:pos="1134" w:leader="none"/>
          <w:tab w:val="left" w:pos="1276" w:leader="none"/>
          <w:tab w:val="left" w:pos="1560" w:leader="none"/>
        </w:tabs>
        <w:spacing w:lineRule="auto" w:line="2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Вартість участі в конференції 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є безкоштовною.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uk-UA"/>
        </w:rPr>
        <w:t>Умови участі в конференції: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lineRule="auto" w:line="218"/>
        <w:ind w:firstLine="567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Для участі у конференції необхідно до 03 квітня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2020 р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надіслати на електронну адресу оргкомітету </w:t>
      </w:r>
      <w:hyperlink r:id="rId14"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dep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publaw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btsau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edu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ua</w:t>
        </w:r>
      </w:hyperlink>
    </w:p>
    <w:p>
      <w:pPr>
        <w:pStyle w:val="Normal"/>
        <w:tabs>
          <w:tab w:val="clear" w:pos="720"/>
          <w:tab w:val="left" w:pos="1276" w:leader="none"/>
        </w:tabs>
        <w:spacing w:lineRule="auto" w:line="218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1276" w:leader="none"/>
        </w:tabs>
        <w:spacing w:lineRule="auto" w:line="218"/>
        <w:ind w:firstLine="567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</w:r>
    </w:p>
    <w:p>
      <w:pPr>
        <w:pStyle w:val="Normal"/>
        <w:tabs>
          <w:tab w:val="clear" w:pos="720"/>
          <w:tab w:val="left" w:pos="1276" w:leader="none"/>
        </w:tabs>
        <w:spacing w:lineRule="auto" w:line="218"/>
        <w:ind w:firstLine="567"/>
        <w:jc w:val="center"/>
        <w:rPr/>
      </w:pPr>
      <w:r>
        <w:rPr/>
        <w:t xml:space="preserve">  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>
      <w:pPr>
        <w:pStyle w:val="Normal"/>
        <w:tabs>
          <w:tab w:val="clear" w:pos="720"/>
          <w:tab w:val="left" w:pos="1276" w:leader="none"/>
        </w:tabs>
        <w:spacing w:lineRule="auto" w:line="218"/>
        <w:ind w:firstLine="567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uk-UA"/>
        </w:rPr>
        <w:t>Вимоги до тез доповідей:</w:t>
      </w:r>
    </w:p>
    <w:p>
      <w:pPr>
        <w:pStyle w:val="Normal"/>
        <w:ind w:left="156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1. Обсяг тексту – до 4 сторінок, які не нумерувати, зі списком використаних джерел.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2. Формат – А4, гарнітура – MS Word, розмір усіх полів – 20 мм. 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3. Шрифт – Times New Roman, кегль (розмір) – 14, міжрядковий інтервал – 1,5, абзац – 1,25 см. 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4. Структура доповіді: індекс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УДК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ініціали та прізвища авторів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, автора (жирним),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науковий ступінь, вчене звання, посада, назва установи, місто, країна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. Назва організації ‒ набираються з нового рядка шрифтом Times New Roman  розміром 14  пт з одинарним міжрядковим  інтервалом  і вирівнюються по лівому краю, курсивом. 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5. Здобувачі вищої освіти в одноосібних тезах повинні вказати наукового керівника. 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6.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Назва тез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розміщується через один інтервал після назви організації, набирається великими літерами шрифтом Times New Roman розміром 14 пт з напівжирним виділенням і вирівнюється по центру. </w:t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7.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Анотація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українською та англійською мовами розміщуються на 10 мм нижче назви тез, набирається з абзацного відступу шрифтом Times New Roman розміром 12 пт з одинарним міжрядковим інтервалом і вирівнюється по ширині. Спочатку анотацію українською мовою. Після ключових слів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>−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 xml:space="preserve"> анотація та ключові слова англійською мовою. 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                                     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8. Нижче анотації обов'язково вказуються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ключові слова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(5‒6). 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9. Через один інтервал – текст доповіді (вирівнювання  по ширині). 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10.У кінці тексту через один інтервал –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Список використаних джерел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(жирним і по центру) та посилання на літературні джерела подаються згідно з вимогами ДСТУ 2015.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11. Використання  ілюстративних матеріалів, формул у доповіді повинно бути мінімальним. 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12. Формат таблиць та рисунків має бути лише книжний. </w:t>
      </w:r>
    </w:p>
    <w:p>
      <w:pPr>
        <w:pStyle w:val="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13. Доповіді, які не відповідатимуть встановленим вимогам та тематиці конференції, розглядатися не будуть. </w:t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14. Відповідальність за зміст та оформлення доповідей несе автор і науковий керівник.</w:t>
      </w:r>
    </w:p>
    <w:p>
      <w:pPr>
        <w:pStyle w:val="Normal"/>
        <w:tabs>
          <w:tab w:val="clear" w:pos="720"/>
          <w:tab w:val="left" w:pos="567" w:leader="none"/>
          <w:tab w:val="left" w:pos="851" w:leader="none"/>
          <w:tab w:val="left" w:pos="1134" w:leader="none"/>
          <w:tab w:val="left" w:pos="1276" w:leader="none"/>
          <w:tab w:val="left" w:pos="1560" w:leader="none"/>
        </w:tabs>
        <w:spacing w:lineRule="auto" w:line="218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567" w:leader="none"/>
          <w:tab w:val="left" w:pos="851" w:leader="none"/>
          <w:tab w:val="left" w:pos="1134" w:leader="none"/>
          <w:tab w:val="left" w:pos="1276" w:leader="none"/>
          <w:tab w:val="left" w:pos="1560" w:leader="none"/>
        </w:tabs>
        <w:spacing w:lineRule="auto" w:line="218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567" w:leader="none"/>
          <w:tab w:val="left" w:pos="851" w:leader="none"/>
          <w:tab w:val="left" w:pos="1134" w:leader="none"/>
          <w:tab w:val="left" w:pos="1276" w:leader="none"/>
          <w:tab w:val="left" w:pos="1560" w:leader="none"/>
        </w:tabs>
        <w:spacing w:lineRule="auto" w:line="218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567" w:leader="none"/>
          <w:tab w:val="left" w:pos="851" w:leader="none"/>
          <w:tab w:val="left" w:pos="1134" w:leader="none"/>
          <w:tab w:val="left" w:pos="1276" w:leader="none"/>
          <w:tab w:val="left" w:pos="1560" w:leader="none"/>
        </w:tabs>
        <w:spacing w:lineRule="auto" w:line="218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Електронний варіант збірника конференції буде розміщений на офіційному сайті Білоцерківського національного аграрного університету у розділі Конференції/семінари після 25 травня 2020 р. </w:t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 xml:space="preserve">Якщо тези не будуть відповідати вищевказаним вимогам, оргкомітети має право відхилити їх. </w:t>
      </w:r>
    </w:p>
    <w:p>
      <w:pPr>
        <w:pStyle w:val="Normal"/>
        <w:ind w:left="156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</w:r>
    </w:p>
    <w:p>
      <w:pPr>
        <w:pStyle w:val="Normal"/>
        <w:ind w:left="156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uk-UA"/>
        </w:rPr>
      </w:r>
    </w:p>
    <w:p>
      <w:pPr>
        <w:pStyle w:val="Normal"/>
        <w:ind w:left="156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uk-UA"/>
        </w:rPr>
      </w:r>
    </w:p>
    <w:p>
      <w:pPr>
        <w:pStyle w:val="Normal"/>
        <w:ind w:left="156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uk-UA"/>
        </w:rPr>
      </w:r>
    </w:p>
    <w:p>
      <w:pPr>
        <w:pStyle w:val="Normal"/>
        <w:ind w:left="1560" w:hanging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uk-UA"/>
        </w:rPr>
      </w:r>
    </w:p>
    <w:p>
      <w:pPr>
        <w:pStyle w:val="Normal"/>
        <w:ind w:hanging="0"/>
        <w:jc w:val="center"/>
        <w:rPr>
          <w:u w:val="non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none"/>
          <w:lang w:val="uk-UA"/>
        </w:rPr>
        <w:t>Зразок оформлення тез:</w:t>
      </w:r>
    </w:p>
    <w:p>
      <w:pPr>
        <w:pStyle w:val="Normal"/>
        <w:ind w:firstLine="709"/>
        <w:jc w:val="left"/>
        <w:rPr/>
      </w:pPr>
      <w:r>
        <w:rPr>
          <w:rFonts w:cs="Times New Roman" w:ascii="Times New Roman" w:hAnsi="Times New Roman"/>
          <w:b/>
          <w:iCs/>
          <w:color w:val="000000"/>
          <w:sz w:val="28"/>
          <w:szCs w:val="28"/>
          <w:highlight w:val="white"/>
          <w:lang w:val="uk-UA"/>
        </w:rPr>
        <w:t>УДК 342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Іваненко І.І.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к.ю.н., доцент, завідувач кафедри адміністративного права </w:t>
      </w:r>
      <w:r>
        <w:rPr>
          <w:rFonts w:cs="Times New Roman" w:ascii="Times New Roman" w:hAnsi="Times New Roman"/>
          <w:i/>
          <w:color w:val="000000"/>
          <w:sz w:val="28"/>
          <w:szCs w:val="28"/>
          <w:lang w:val="uk-UA"/>
        </w:rPr>
        <w:t>Білоцерківського  національного  аграрного  університету</w:t>
      </w:r>
    </w:p>
    <w:p>
      <w:pPr>
        <w:pStyle w:val="Normal"/>
        <w:ind w:firstLine="709"/>
        <w:jc w:val="left"/>
        <w:rPr/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>
      <w:pPr>
        <w:pStyle w:val="Normal"/>
        <w:shd w:val="clear" w:color="auto" w:fill="FFFFFF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ЗАБЕЗПЕЧЕННЯ ПРАВ І СВОБОД ЛЮДИНИ</w:t>
      </w:r>
    </w:p>
    <w:p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</w:p>
    <w:p>
      <w:pPr>
        <w:pStyle w:val="NormalWeb"/>
        <w:spacing w:before="0" w:after="0"/>
        <w:ind w:firstLine="709"/>
        <w:jc w:val="both"/>
        <w:rPr/>
      </w:pPr>
      <w:r>
        <w:rPr>
          <w:b/>
          <w:color w:val="000000"/>
          <w:sz w:val="28"/>
          <w:szCs w:val="28"/>
          <w:lang w:val="uk-UA"/>
        </w:rPr>
        <w:t>Анотація.</w:t>
      </w:r>
      <w:r>
        <w:rPr>
          <w:color w:val="000000"/>
          <w:sz w:val="28"/>
          <w:szCs w:val="28"/>
          <w:lang w:val="uk-UA"/>
        </w:rPr>
        <w:t xml:space="preserve">  Проблема забезпечення прав людини наприкінці XX – на початку ХХІ ст. стала однією з найактуальніших проблем людства та має складні внутрішньодержавні й міжнародні аспекти прояву. Ця проблема потребує особливої уваги з боку дослідників.</w:t>
      </w:r>
    </w:p>
    <w:p>
      <w:pPr>
        <w:pStyle w:val="NormalWeb"/>
        <w:spacing w:before="0" w:after="0"/>
        <w:ind w:firstLine="709"/>
        <w:jc w:val="both"/>
        <w:rPr/>
      </w:pPr>
      <w:r>
        <w:rPr>
          <w:b/>
          <w:color w:val="000000"/>
          <w:sz w:val="28"/>
          <w:szCs w:val="28"/>
          <w:lang w:val="uk-UA"/>
        </w:rPr>
        <w:t>Ключові слова: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/>
        </w:rPr>
        <w:t xml:space="preserve">права і свободи людини, громадянські та соціальні права, концепція прав людини, демократія. </w:t>
      </w:r>
      <w:r>
        <w:rPr>
          <w:b/>
          <w:color w:val="000000"/>
          <w:sz w:val="28"/>
          <w:szCs w:val="28"/>
          <w:lang w:val="uk-UA"/>
        </w:rPr>
        <w:t xml:space="preserve">                                </w:t>
      </w:r>
    </w:p>
    <w:p>
      <w:pPr>
        <w:pStyle w:val="NormalWeb"/>
        <w:spacing w:before="0" w:after="0"/>
        <w:ind w:right="283" w:firstLine="709"/>
        <w:jc w:val="center"/>
        <w:rPr/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Web"/>
        <w:spacing w:before="0" w:after="0"/>
        <w:ind w:right="283" w:firstLine="709"/>
        <w:jc w:val="center"/>
        <w:rPr/>
      </w:pPr>
      <w:r>
        <w:rPr>
          <w:b/>
          <w:color w:val="000000"/>
          <w:sz w:val="28"/>
          <w:szCs w:val="28"/>
          <w:lang w:val="uk-UA"/>
        </w:rPr>
        <w:t>Список використаних джерел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</w:t>
      </w:r>
      <w:r>
        <w:rPr/>
        <w:t xml:space="preserve">                           </w:t>
      </w:r>
    </w:p>
    <w:tbl>
      <w:tblPr>
        <w:tblW w:w="93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Зразок оформлення заяви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Прізвище, ім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 xml:space="preserve">’я, по батькові учасника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18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Прізвище, ім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’я, по батькові наукового керівника (у разі їх наявності)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Науковий ступінь, вчене звання (у разі їх наявності), посада, місце роботи (навчання)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Контактний телефон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</w:t>
            </w:r>
          </w:p>
        </w:tc>
      </w:tr>
      <w:tr>
        <w:trPr>
          <w:trHeight w:val="422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участі у конференції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none"/>
              </w:rPr>
              <w:t xml:space="preserve">Очна, заочна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none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none"/>
                <w:lang w:val="uk-UA"/>
              </w:rPr>
              <w:t>необхідне підкреслити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none"/>
                <w:lang w:val="uk-UA"/>
              </w:rPr>
              <w:t>)</w:t>
            </w:r>
          </w:p>
        </w:tc>
      </w:tr>
    </w:tbl>
    <w:p>
      <w:pPr>
        <w:pStyle w:val="Normal"/>
        <w:rPr/>
      </w:pPr>
      <w:r>
        <w:rPr/>
        <w:t xml:space="preserve">    </w:t>
      </w:r>
      <w:r>
        <w:rPr>
          <w:rFonts w:ascii="Times New Roman" w:hAnsi="Times New Roman"/>
          <w:b/>
          <w:bCs/>
          <w:sz w:val="22"/>
          <w:szCs w:val="22"/>
        </w:rPr>
        <w:t>Координати</w:t>
      </w:r>
      <w:r>
        <w:rPr>
          <w:rFonts w:ascii="Times New Roman" w:hAnsi="Times New Roman"/>
          <w:b/>
          <w:bCs/>
          <w:sz w:val="22"/>
          <w:szCs w:val="22"/>
          <w:lang w:val="uk-UA"/>
        </w:rPr>
        <w:t xml:space="preserve"> організаційного комітету</w:t>
      </w:r>
    </w:p>
    <w:p>
      <w:pPr>
        <w:pStyle w:val="Normal"/>
        <w:jc w:val="both"/>
        <w:rPr>
          <w:sz w:val="22"/>
          <w:szCs w:val="22"/>
        </w:rPr>
      </w:pPr>
      <w:r>
        <w:rPr>
          <w:i w:val="false"/>
          <w:iCs w:val="false"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>Факультет права та лінгвістики Білоцерківського національного аграрного університету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  <w:t xml:space="preserve">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lang w:val="uk-UA"/>
        </w:rPr>
        <w:t xml:space="preserve">09100, Україна, м. Біла Церква, бул. Олександрійський 96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lang w:val="uk-UA"/>
        </w:rPr>
        <w:t xml:space="preserve">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lang w:val="uk-UA"/>
        </w:rPr>
        <w:t xml:space="preserve">Електронна адреса: </w:t>
      </w:r>
      <w:hyperlink r:id="rId15">
        <w:r>
          <w:rPr>
            <w:rStyle w:val="Style14"/>
            <w:rFonts w:ascii="Times New Roman" w:hAnsi="Times New Roman"/>
            <w:b/>
            <w:bCs/>
            <w:i w:val="false"/>
            <w:iCs w:val="false"/>
            <w:sz w:val="22"/>
            <w:szCs w:val="22"/>
            <w:lang w:val="en-US"/>
          </w:rPr>
          <w:t>dep.publaw@btsau.edu.ua</w:t>
        </w:r>
      </w:hyperlink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lang w:val="en-US"/>
        </w:rPr>
        <w:t xml:space="preserve">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lang w:val="uk-UA"/>
        </w:rPr>
        <w:t>Телефон: +38097-983-78-87 (Самойлович Артур Андрійович)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lang w:val="uk-UA"/>
        </w:rPr>
        <w:t xml:space="preserve">                 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lang w:val="uk-UA"/>
        </w:rPr>
        <w:t>+38097-330-30-14 (Сімакова Світлана Іванівна)</w:t>
      </w:r>
      <w:r>
        <w:rPr/>
        <w:t xml:space="preserve">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0d61"/>
    <w:pPr>
      <w:widowControl/>
      <w:suppressAutoHyphens w:val="true"/>
      <w:bidi w:val="0"/>
      <w:spacing w:lineRule="auto" w:line="240" w:before="0" w:after="0"/>
      <w:jc w:val="both"/>
    </w:pPr>
    <w:rPr>
      <w:rFonts w:ascii="Verdana" w:hAnsi="Verdana" w:eastAsia="Calibri" w:cs="Verdana" w:eastAsiaTheme="minorHAnsi"/>
      <w:color w:val="auto"/>
      <w:kern w:val="0"/>
      <w:sz w:val="20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sid w:val="004f0d6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f0d61"/>
    <w:rPr>
      <w:rFonts w:ascii="Times New Roman" w:hAnsi="Times New Roman" w:eastAsia="Times New Roman" w:cs="Times New Roman"/>
      <w:sz w:val="20"/>
      <w:szCs w:val="24"/>
      <w:lang w:val="x-none" w:eastAsia="zh-C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f0d61"/>
    <w:rPr>
      <w:rFonts w:ascii="Tahoma" w:hAnsi="Tahoma" w:eastAsia="Calibri" w:cs="Tahoma"/>
      <w:sz w:val="16"/>
      <w:szCs w:val="16"/>
      <w:lang w:eastAsia="zh-CN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4"/>
      <w:lang w:val="uk-UA"/>
    </w:rPr>
  </w:style>
  <w:style w:type="character" w:styleId="ListLabel2">
    <w:name w:val="ListLabel 2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4"/>
      <w:lang w:val="uk-UA"/>
    </w:rPr>
  </w:style>
  <w:style w:type="character" w:styleId="ListLabel5">
    <w:name w:val="ListLabel 5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4"/>
      <w:lang w:val="uk-UA"/>
    </w:rPr>
  </w:style>
  <w:style w:type="character" w:styleId="ListLabel8">
    <w:name w:val="ListLabel 8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9">
    <w:name w:val="ListLabel 9"/>
    <w:qFormat/>
    <w:rPr>
      <w:rFonts w:ascii="Times New Roman" w:hAnsi="Times New Roman" w:cs="Times New Roman"/>
      <w:b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/>
      <w:bCs/>
      <w:i w:val="false"/>
      <w:iCs w:val="false"/>
      <w:sz w:val="24"/>
      <w:szCs w:val="24"/>
      <w:lang w:val="en-US"/>
    </w:rPr>
  </w:style>
  <w:style w:type="character" w:styleId="ListLabel11">
    <w:name w:val="ListLabel 11"/>
    <w:qFormat/>
    <w:rPr>
      <w:rFonts w:ascii="Times New Roman" w:hAnsi="Times New Roman" w:cs="Times New Roman"/>
      <w:sz w:val="28"/>
      <w:szCs w:val="24"/>
      <w:lang w:val="uk-UA"/>
    </w:rPr>
  </w:style>
  <w:style w:type="character" w:styleId="ListLabel12">
    <w:name w:val="ListLabel 12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13">
    <w:name w:val="ListLabel 13"/>
    <w:qFormat/>
    <w:rPr>
      <w:rFonts w:ascii="Times New Roman" w:hAnsi="Times New Roman" w:cs="Times New Roman"/>
      <w:b/>
      <w:sz w:val="28"/>
      <w:szCs w:val="28"/>
    </w:rPr>
  </w:style>
  <w:style w:type="character" w:styleId="ListLabel14">
    <w:name w:val="ListLabel 14"/>
    <w:qFormat/>
    <w:rPr>
      <w:rFonts w:ascii="Times New Roman" w:hAnsi="Times New Roman"/>
      <w:b/>
      <w:bCs/>
      <w:i w:val="false"/>
      <w:iCs w:val="false"/>
      <w:sz w:val="24"/>
      <w:szCs w:val="24"/>
      <w:lang w:val="en-US"/>
    </w:rPr>
  </w:style>
  <w:style w:type="character" w:styleId="ListLabel15">
    <w:name w:val="ListLabel 15"/>
    <w:qFormat/>
    <w:rPr>
      <w:rFonts w:ascii="Times New Roman" w:hAnsi="Times New Roman" w:cs="Times New Roman"/>
      <w:sz w:val="28"/>
      <w:szCs w:val="24"/>
      <w:lang w:val="uk-UA"/>
    </w:rPr>
  </w:style>
  <w:style w:type="character" w:styleId="ListLabel16">
    <w:name w:val="ListLabel 16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17">
    <w:name w:val="ListLabel 17"/>
    <w:qFormat/>
    <w:rPr>
      <w:rFonts w:ascii="Times New Roman" w:hAnsi="Times New Roman" w:cs="Times New Roman"/>
      <w:b/>
      <w:sz w:val="28"/>
      <w:szCs w:val="28"/>
    </w:rPr>
  </w:style>
  <w:style w:type="character" w:styleId="ListLabel18">
    <w:name w:val="ListLabel 18"/>
    <w:qFormat/>
    <w:rPr>
      <w:rFonts w:ascii="Times New Roman" w:hAnsi="Times New Roman"/>
      <w:b/>
      <w:bCs/>
      <w:i w:val="false"/>
      <w:iCs w:val="false"/>
      <w:sz w:val="24"/>
      <w:szCs w:val="24"/>
      <w:lang w:val="en-US"/>
    </w:rPr>
  </w:style>
  <w:style w:type="character" w:styleId="ListLabel19">
    <w:name w:val="ListLabel 19"/>
    <w:qFormat/>
    <w:rPr>
      <w:rFonts w:ascii="Times New Roman" w:hAnsi="Times New Roman" w:cs="Times New Roman"/>
      <w:sz w:val="28"/>
      <w:szCs w:val="24"/>
      <w:lang w:val="uk-UA"/>
    </w:rPr>
  </w:style>
  <w:style w:type="character" w:styleId="ListLabel20">
    <w:name w:val="ListLabel 20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21">
    <w:name w:val="ListLabel 21"/>
    <w:qFormat/>
    <w:rPr>
      <w:rFonts w:ascii="Times New Roman" w:hAnsi="Times New Roman" w:cs="Times New Roman"/>
      <w:b/>
      <w:sz w:val="28"/>
      <w:szCs w:val="28"/>
    </w:rPr>
  </w:style>
  <w:style w:type="character" w:styleId="ListLabel22">
    <w:name w:val="ListLabel 22"/>
    <w:qFormat/>
    <w:rPr>
      <w:rFonts w:ascii="Times New Roman" w:hAnsi="Times New Roman"/>
      <w:b/>
      <w:bCs/>
      <w:i w:val="false"/>
      <w:iCs w:val="false"/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 w:cs="Times New Roman"/>
      <w:sz w:val="28"/>
      <w:szCs w:val="24"/>
      <w:lang w:val="uk-UA"/>
    </w:rPr>
  </w:style>
  <w:style w:type="character" w:styleId="ListLabel24">
    <w:name w:val="ListLabel 24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25">
    <w:name w:val="ListLabel 25"/>
    <w:qFormat/>
    <w:rPr>
      <w:rFonts w:ascii="Times New Roman" w:hAnsi="Times New Roman" w:cs="Times New Roman"/>
      <w:b/>
      <w:sz w:val="28"/>
      <w:szCs w:val="28"/>
    </w:rPr>
  </w:style>
  <w:style w:type="character" w:styleId="ListLabel26">
    <w:name w:val="ListLabel 26"/>
    <w:qFormat/>
    <w:rPr>
      <w:rFonts w:ascii="Times New Roman" w:hAnsi="Times New Roman"/>
      <w:b/>
      <w:bCs/>
      <w:i w:val="false"/>
      <w:iCs w:val="false"/>
      <w:sz w:val="24"/>
      <w:szCs w:val="24"/>
      <w:lang w:val="en-US"/>
    </w:rPr>
  </w:style>
  <w:style w:type="character" w:styleId="ListLabel27">
    <w:name w:val="ListLabel 27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28">
    <w:name w:val="ListLabel 28"/>
    <w:qFormat/>
    <w:rPr>
      <w:rFonts w:ascii="Times New Roman" w:hAnsi="Times New Roman" w:cs="Times New Roman"/>
      <w:b/>
      <w:sz w:val="28"/>
      <w:szCs w:val="28"/>
    </w:rPr>
  </w:style>
  <w:style w:type="character" w:styleId="ListLabel29">
    <w:name w:val="ListLabel 29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character" w:styleId="ListLabel30">
    <w:name w:val="ListLabel 30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31">
    <w:name w:val="ListLabel 31"/>
    <w:qFormat/>
    <w:rPr>
      <w:rFonts w:ascii="Times New Roman" w:hAnsi="Times New Roman" w:cs="Times New Roman"/>
      <w:b/>
      <w:sz w:val="28"/>
      <w:szCs w:val="28"/>
    </w:rPr>
  </w:style>
  <w:style w:type="character" w:styleId="ListLabel32">
    <w:name w:val="ListLabel 32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character" w:styleId="ListLabel33">
    <w:name w:val="ListLabel 33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ListLabel35">
    <w:name w:val="ListLabel 35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37">
    <w:name w:val="ListLabel 37"/>
    <w:qFormat/>
    <w:rPr>
      <w:rFonts w:ascii="Times New Roman" w:hAnsi="Times New Roman" w:cs="Times New Roman"/>
      <w:b/>
      <w:sz w:val="28"/>
      <w:szCs w:val="28"/>
    </w:rPr>
  </w:style>
  <w:style w:type="character" w:styleId="ListLabel38">
    <w:name w:val="ListLabel 38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character" w:styleId="ListLabel39">
    <w:name w:val="ListLabel 39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40">
    <w:name w:val="ListLabel 40"/>
    <w:qFormat/>
    <w:rPr>
      <w:rFonts w:ascii="Times New Roman" w:hAnsi="Times New Roman" w:cs="Times New Roman"/>
      <w:b/>
      <w:sz w:val="28"/>
      <w:szCs w:val="28"/>
    </w:rPr>
  </w:style>
  <w:style w:type="character" w:styleId="ListLabel41">
    <w:name w:val="ListLabel 41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character" w:styleId="ListLabel42">
    <w:name w:val="ListLabel 42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43">
    <w:name w:val="ListLabel 43"/>
    <w:qFormat/>
    <w:rPr>
      <w:rFonts w:ascii="Times New Roman" w:hAnsi="Times New Roman" w:cs="Times New Roman"/>
      <w:b/>
      <w:sz w:val="28"/>
      <w:szCs w:val="28"/>
    </w:rPr>
  </w:style>
  <w:style w:type="character" w:styleId="ListLabel44">
    <w:name w:val="ListLabel 44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character" w:styleId="ListLabel45">
    <w:name w:val="ListLabel 45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46">
    <w:name w:val="ListLabel 46"/>
    <w:qFormat/>
    <w:rPr>
      <w:rFonts w:ascii="Times New Roman" w:hAnsi="Times New Roman" w:cs="Times New Roman"/>
      <w:b/>
      <w:sz w:val="28"/>
      <w:szCs w:val="28"/>
    </w:rPr>
  </w:style>
  <w:style w:type="character" w:styleId="ListLabel47">
    <w:name w:val="ListLabel 47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character" w:styleId="ListLabel48">
    <w:name w:val="ListLabel 48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49">
    <w:name w:val="ListLabel 49"/>
    <w:qFormat/>
    <w:rPr>
      <w:rFonts w:ascii="Times New Roman" w:hAnsi="Times New Roman" w:cs="Times New Roman"/>
      <w:b/>
      <w:sz w:val="28"/>
      <w:szCs w:val="28"/>
    </w:rPr>
  </w:style>
  <w:style w:type="character" w:styleId="ListLabel50">
    <w:name w:val="ListLabel 50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character" w:styleId="ListLabel51">
    <w:name w:val="ListLabel 5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52">
    <w:name w:val="ListLabel 52"/>
    <w:qFormat/>
    <w:rPr>
      <w:rFonts w:ascii="Times New Roman" w:hAnsi="Times New Roman" w:cs="Times New Roman"/>
      <w:b/>
      <w:sz w:val="28"/>
      <w:szCs w:val="28"/>
    </w:rPr>
  </w:style>
  <w:style w:type="character" w:styleId="ListLabel53">
    <w:name w:val="ListLabel 53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character" w:styleId="ListLabel54">
    <w:name w:val="ListLabel 54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55">
    <w:name w:val="ListLabel 55"/>
    <w:qFormat/>
    <w:rPr>
      <w:rFonts w:ascii="Times New Roman" w:hAnsi="Times New Roman" w:cs="Times New Roman"/>
      <w:b/>
      <w:sz w:val="28"/>
      <w:szCs w:val="28"/>
    </w:rPr>
  </w:style>
  <w:style w:type="character" w:styleId="ListLabel56">
    <w:name w:val="ListLabel 56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character" w:styleId="ListLabel57">
    <w:name w:val="ListLabel 57"/>
    <w:qFormat/>
    <w:rPr>
      <w:rFonts w:ascii="Times New Roman" w:hAnsi="Times New Roman" w:cs="Times New Roman"/>
      <w:b/>
      <w:sz w:val="28"/>
      <w:szCs w:val="28"/>
      <w:lang w:val="en-US"/>
    </w:rPr>
  </w:style>
  <w:style w:type="character" w:styleId="ListLabel58">
    <w:name w:val="ListLabel 58"/>
    <w:qFormat/>
    <w:rPr>
      <w:rFonts w:ascii="Times New Roman" w:hAnsi="Times New Roman" w:cs="Times New Roman"/>
      <w:b/>
      <w:sz w:val="28"/>
      <w:szCs w:val="28"/>
    </w:rPr>
  </w:style>
  <w:style w:type="character" w:styleId="ListLabel59">
    <w:name w:val="ListLabel 59"/>
    <w:qFormat/>
    <w:rPr>
      <w:rFonts w:ascii="Times New Roman" w:hAnsi="Times New Roman"/>
      <w:b/>
      <w:bCs/>
      <w:i w:val="false"/>
      <w:iCs w:val="false"/>
      <w:sz w:val="22"/>
      <w:szCs w:val="22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rsid w:val="004f0d61"/>
    <w:pPr>
      <w:jc w:val="center"/>
    </w:pPr>
    <w:rPr>
      <w:rFonts w:ascii="Times New Roman" w:hAnsi="Times New Roman" w:eastAsia="Times New Roman" w:cs="Times New Roman"/>
      <w:szCs w:val="24"/>
      <w:lang w:val="x-none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4f0d61"/>
    <w:pPr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f0d61"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paragraph" w:styleId="Style22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hyperlink" Target="mailto:dep.publaw@btsau.edu.ua" TargetMode="External"/><Relationship Id="rId15" Type="http://schemas.openxmlformats.org/officeDocument/2006/relationships/hyperlink" Target="mailto:dep.publaw@btsau.edu.ua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LibreOffice/6.1.4.2$Windows_x86 LibreOffice_project/9d0f32d1f0b509096fd65e0d4bec26ddd1938fd3</Application>
  <Pages>5</Pages>
  <Words>752</Words>
  <Characters>5249</Characters>
  <CharactersWithSpaces>7700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2020-02-26T11:08:00Z</dcterms:created>
  <dc:creator>Оксана</dc:creator>
  <dc:description/>
  <dc:language>uk-UA</dc:language>
  <cp:lastModifiedBy/>
  <dcterms:modified xsi:type="dcterms:W3CDTF">2020-03-19T22:48:12Z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