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Style w:val="a9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6627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val="uk-UA" w:eastAsia="en-US"/>
              </w:rPr>
              <w:t>Назва дисципліни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val="uk-UA" w:eastAsia="en-US"/>
              </w:rPr>
              <w:t>Міжнародний захист прав людини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Викладач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Сокиринська Оксана Анатоліївна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Кандидат юридичних наук, доцент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Курс та семестр в якому планується вивчення дисципліни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/>
              </w:rPr>
              <w:t>4 курс 2 семестр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Факультети, студентам яких пропонується вивчати дисципліну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Факультет права та лінгвістики, спеціальність 081 «Право»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Результатом вивчення дисципліни є набуття студентами таких знань і умінь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Знання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зв’язку дисципліни з гуманітарними, соціально-економічними та загально-юридичними дисциплінами;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сутності та структури правового статусу особи;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 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видів правового статусу особи, та пов’язані з цим відміннос</w:t>
              <w:softHyphen/>
              <w:t>ті в обсягах прав та обов’язків;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співвідношення природного і позитивного права;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змісту природно-правової доктрини та її значення для розвитку вчень про права людини.</w:t>
            </w:r>
          </w:p>
          <w:p>
            <w:pPr>
              <w:pStyle w:val="NormalWeb"/>
              <w:spacing w:beforeAutospacing="0" w:before="0" w:afterAutospacing="0" w:after="0"/>
              <w:ind w:left="360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Вміння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користуватися міжнародно-правовими джерелами;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аналізувати поняття контрольних механізмів щодо дотримання прав люди</w:t>
              <w:softHyphen/>
              <w:t>ни, що існують на універсальному та регіональному рівнях;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оцінювати систему міжнародно-правових актів з прав людини, структуру і призначення органів, які здійснюють міжнародно-правовий за</w:t>
              <w:softHyphen/>
              <w:t>хист цих прав;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робити узагальнення щодо системи міжнародних інституцій, що покликані забезпечувати захист прав людини на універсальному та регіональному рів</w:t>
              <w:softHyphen/>
              <w:t>нях.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Опис дисципліни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Попередні умови необхідні для вивчення дисципліни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Максимальна кількість студентів, які можуть одночасно навчатися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Теми аудиторних занять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Мова викладання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Вивчення курсу «Міжнародного публічного права», «Права Європейського Союзу».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25 студентів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en-US"/>
              </w:rPr>
              <w:t>Теми лекцій</w:t>
            </w:r>
          </w:p>
          <w:p>
            <w:pPr>
              <w:pStyle w:val="71"/>
              <w:numPr>
                <w:ilvl w:val="0"/>
                <w:numId w:val="3"/>
              </w:numPr>
              <w:spacing w:before="280" w:after="0"/>
              <w:jc w:val="both"/>
              <w:rPr>
                <w:lang w:val="uk-UA"/>
              </w:rPr>
            </w:pPr>
            <w:r>
              <w:rPr>
                <w:rStyle w:val="72"/>
                <w:color w:val="000000"/>
                <w:lang w:val="uk-UA" w:eastAsia="en-US"/>
              </w:rPr>
              <w:t xml:space="preserve">Історичні аспекти розвитку системи </w:t>
            </w:r>
            <w:r>
              <w:rPr>
                <w:rStyle w:val="720"/>
                <w:color w:val="000000"/>
                <w:lang w:val="uk-UA" w:eastAsia="en-US"/>
              </w:rPr>
              <w:t>міжнародно-правового захисту громадянських і політичних прав особи</w:t>
            </w:r>
          </w:p>
          <w:p>
            <w:pPr>
              <w:pStyle w:val="71"/>
              <w:numPr>
                <w:ilvl w:val="0"/>
                <w:numId w:val="3"/>
              </w:numPr>
              <w:spacing w:before="280" w:after="0"/>
              <w:jc w:val="both"/>
              <w:rPr>
                <w:lang w:val="uk-UA"/>
              </w:rPr>
            </w:pPr>
            <w:r>
              <w:rPr>
                <w:rStyle w:val="72"/>
                <w:color w:val="000000"/>
                <w:lang w:val="uk-UA" w:eastAsia="en-US"/>
              </w:rPr>
              <w:t xml:space="preserve"> </w:t>
            </w:r>
            <w:r>
              <w:rPr>
                <w:rStyle w:val="720"/>
                <w:color w:val="000000"/>
                <w:lang w:val="uk-UA" w:eastAsia="en-US"/>
              </w:rPr>
              <w:t>Передумови становлення системи міжнародно-правового захисту соціально-економічних прав особи</w:t>
            </w:r>
          </w:p>
          <w:p>
            <w:pPr>
              <w:pStyle w:val="71"/>
              <w:numPr>
                <w:ilvl w:val="0"/>
                <w:numId w:val="3"/>
              </w:numPr>
              <w:spacing w:before="280" w:after="0"/>
              <w:jc w:val="both"/>
              <w:rPr>
                <w:lang w:val="uk-UA"/>
              </w:rPr>
            </w:pPr>
            <w:r>
              <w:rPr>
                <w:rStyle w:val="72"/>
                <w:color w:val="000000"/>
                <w:lang w:val="uk-UA" w:eastAsia="en-US"/>
              </w:rPr>
              <w:t>Поняття та сутність міжнародно-правового механізму захисту прав людини</w:t>
            </w:r>
          </w:p>
          <w:p>
            <w:pPr>
              <w:pStyle w:val="71"/>
              <w:numPr>
                <w:ilvl w:val="0"/>
                <w:numId w:val="3"/>
              </w:numPr>
              <w:spacing w:before="280" w:after="0"/>
              <w:jc w:val="both"/>
              <w:rPr>
                <w:lang w:val="uk-UA"/>
              </w:rPr>
            </w:pPr>
            <w:r>
              <w:rPr>
                <w:rStyle w:val="72"/>
                <w:color w:val="000000"/>
                <w:lang w:val="uk-UA" w:eastAsia="en-US"/>
              </w:rPr>
              <w:t>Характеристика системи захисту прав особи на універсальному рівні</w:t>
            </w:r>
          </w:p>
          <w:p>
            <w:pPr>
              <w:pStyle w:val="71"/>
              <w:numPr>
                <w:ilvl w:val="0"/>
                <w:numId w:val="3"/>
              </w:numPr>
              <w:spacing w:before="280" w:after="0"/>
              <w:jc w:val="both"/>
              <w:rPr>
                <w:lang w:val="uk-UA"/>
              </w:rPr>
            </w:pPr>
            <w:r>
              <w:rPr>
                <w:rStyle w:val="720"/>
                <w:color w:val="000000"/>
                <w:lang w:val="uk-UA" w:eastAsia="en-US"/>
              </w:rPr>
              <w:t xml:space="preserve">Роль омбудсмена ООН у системі захисту прав </w:t>
            </w:r>
            <w:r>
              <w:rPr>
                <w:rStyle w:val="72"/>
                <w:color w:val="000000"/>
                <w:lang w:val="uk-UA" w:eastAsia="en-US"/>
              </w:rPr>
              <w:t xml:space="preserve">особи на </w:t>
            </w:r>
            <w:r>
              <w:rPr>
                <w:rStyle w:val="720"/>
                <w:color w:val="000000"/>
                <w:lang w:val="uk-UA" w:eastAsia="en-US"/>
              </w:rPr>
              <w:t>універсальному рівні</w:t>
            </w:r>
          </w:p>
          <w:p>
            <w:pPr>
              <w:pStyle w:val="71"/>
              <w:numPr>
                <w:ilvl w:val="0"/>
                <w:numId w:val="3"/>
              </w:numPr>
              <w:spacing w:before="280" w:after="0"/>
              <w:jc w:val="both"/>
              <w:rPr>
                <w:rStyle w:val="720"/>
                <w:lang w:val="uk-UA"/>
              </w:rPr>
            </w:pPr>
            <w:r>
              <w:rPr>
                <w:rStyle w:val="720"/>
                <w:color w:val="000000"/>
                <w:lang w:val="uk-UA" w:eastAsia="en-US"/>
              </w:rPr>
              <w:t xml:space="preserve">Регіональна система міжнародно-правового </w:t>
            </w:r>
            <w:r>
              <w:rPr>
                <w:rStyle w:val="72"/>
                <w:color w:val="000000"/>
                <w:lang w:val="uk-UA" w:eastAsia="en-US"/>
              </w:rPr>
              <w:t xml:space="preserve">захисту </w:t>
            </w:r>
            <w:r>
              <w:rPr>
                <w:rStyle w:val="720"/>
                <w:color w:val="000000"/>
                <w:lang w:val="uk-UA" w:eastAsia="en-US"/>
              </w:rPr>
              <w:t>особи</w:t>
            </w:r>
          </w:p>
          <w:p>
            <w:pPr>
              <w:pStyle w:val="71"/>
              <w:numPr>
                <w:ilvl w:val="0"/>
                <w:numId w:val="3"/>
              </w:numPr>
              <w:spacing w:before="280" w:after="0"/>
              <w:jc w:val="both"/>
              <w:rPr>
                <w:lang w:val="uk-UA"/>
              </w:rPr>
            </w:pPr>
            <w:r>
              <w:rPr>
                <w:rStyle w:val="72"/>
                <w:color w:val="000000"/>
                <w:lang w:val="uk-UA" w:eastAsia="en-US"/>
              </w:rPr>
              <w:t>Система міжнародно-правового контролю щодо дотримання прав «першого покоління» на універсальному рівні</w:t>
            </w:r>
          </w:p>
          <w:p>
            <w:pPr>
              <w:pStyle w:val="71"/>
              <w:numPr>
                <w:ilvl w:val="0"/>
                <w:numId w:val="3"/>
              </w:numPr>
              <w:spacing w:before="280" w:after="0"/>
              <w:jc w:val="both"/>
              <w:rPr>
                <w:lang w:val="uk-UA"/>
              </w:rPr>
            </w:pPr>
            <w:r>
              <w:rPr>
                <w:rStyle w:val="720"/>
                <w:color w:val="000000"/>
                <w:lang w:val="uk-UA" w:eastAsia="en-US"/>
              </w:rPr>
              <w:t>Характеристика системи міжнародно-правового контролю щодо дотримання прав «другого покоління» на універсальному рівні</w:t>
            </w:r>
          </w:p>
          <w:p>
            <w:pPr>
              <w:pStyle w:val="71"/>
              <w:numPr>
                <w:ilvl w:val="0"/>
                <w:numId w:val="3"/>
              </w:numPr>
              <w:spacing w:before="280" w:after="0"/>
              <w:jc w:val="both"/>
              <w:rPr>
                <w:lang w:val="uk-UA"/>
              </w:rPr>
            </w:pPr>
            <w:r>
              <w:rPr>
                <w:rStyle w:val="72"/>
                <w:color w:val="000000"/>
                <w:lang w:val="uk-UA" w:eastAsia="en-US"/>
              </w:rPr>
              <w:t>Сутність регіонального механізму забезпечення дотримання прав людини</w:t>
            </w:r>
          </w:p>
          <w:p>
            <w:pPr>
              <w:pStyle w:val="71"/>
              <w:numPr>
                <w:ilvl w:val="0"/>
                <w:numId w:val="3"/>
              </w:numPr>
              <w:spacing w:before="280" w:after="0"/>
              <w:jc w:val="both"/>
              <w:rPr>
                <w:lang w:val="uk-UA"/>
              </w:rPr>
            </w:pPr>
            <w:r>
              <w:rPr>
                <w:rStyle w:val="72"/>
                <w:color w:val="000000"/>
                <w:lang w:val="uk-UA" w:eastAsia="en-US"/>
              </w:rPr>
              <w:t>Роль Європейського суду з прав людини в системі регіонального міжнародно-правового контролю дотримання прав людини.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en-US"/>
              </w:rPr>
              <w:t>Теми практичних занять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Style w:val="720"/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Style w:val="72"/>
                <w:rFonts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Історичні аспекти розвитку системи </w:t>
            </w:r>
            <w:r>
              <w:rPr>
                <w:rStyle w:val="720"/>
                <w:rFonts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>міжнародно-правового захисту громадянських і політичних прав особи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Style w:val="720"/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Style w:val="720"/>
                <w:rFonts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>Передумови становлення системи міжнародно-правового захисту соціально-економічних прав особи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Style w:val="72"/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Style w:val="72"/>
                <w:rFonts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>Поняття та сутність міжнародно-правового механізму захисту прав людини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Style w:val="72"/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Style w:val="72"/>
                <w:rFonts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>Характеристика системи захисту прав особи на універсальному рівні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Style w:val="720"/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Style w:val="720"/>
                <w:rFonts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Роль омбудсмена ООН у системі захисту прав </w:t>
            </w:r>
            <w:r>
              <w:rPr>
                <w:rStyle w:val="72"/>
                <w:rFonts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особи на </w:t>
            </w:r>
            <w:r>
              <w:rPr>
                <w:rStyle w:val="720"/>
                <w:rFonts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>універсальному рівні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Style w:val="720"/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Style w:val="720"/>
                <w:rFonts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Регіональна система міжнародно-правового </w:t>
            </w:r>
            <w:r>
              <w:rPr>
                <w:rStyle w:val="72"/>
                <w:rFonts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захисту </w:t>
            </w:r>
            <w:r>
              <w:rPr>
                <w:rStyle w:val="720"/>
                <w:rFonts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>особи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Style w:val="72"/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Style w:val="72"/>
                <w:rFonts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>Система міжнародно-правового контролю щодо дотримання прав «першого покоління» на універсальному рівні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Style w:val="720"/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Style w:val="720"/>
                <w:rFonts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>Характеристика системи міжнародно-правового контролю щодо дотримання прав «другого покоління» на універсальному рівні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Style w:val="72"/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Style w:val="72"/>
                <w:rFonts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>Сутність регіонального механізму забезпечення дотримання прав людини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Style w:val="72"/>
                <w:rFonts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>Роль Європейського суду з прав людини в системі регіонального міжнародно-правового контролю дотримання прав людини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Українська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cs="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6c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c86a9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1"/>
    <w:qFormat/>
    <w:rsid w:val="00ca214a"/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94708a"/>
    <w:rPr/>
  </w:style>
  <w:style w:type="character" w:styleId="72" w:customStyle="1">
    <w:name w:val="72"/>
    <w:basedOn w:val="DefaultParagraphFont"/>
    <w:qFormat/>
    <w:rsid w:val="00157f56"/>
    <w:rPr/>
  </w:style>
  <w:style w:type="character" w:styleId="720" w:customStyle="1">
    <w:name w:val="720"/>
    <w:basedOn w:val="DefaultParagraphFont"/>
    <w:qFormat/>
    <w:rsid w:val="00157f56"/>
    <w:rPr/>
  </w:style>
  <w:style w:type="character" w:styleId="ListLabel1">
    <w:name w:val="ListLabel 1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 w:cs=""/>
      <w:sz w:val="24"/>
    </w:rPr>
  </w:style>
  <w:style w:type="character" w:styleId="ListLabel38">
    <w:name w:val="ListLabel 38"/>
    <w:qFormat/>
    <w:rPr>
      <w:rFonts w:ascii="Times New Roman" w:hAnsi="Times New Roman" w:cs=""/>
      <w:sz w:val="24"/>
    </w:rPr>
  </w:style>
  <w:style w:type="character" w:styleId="ListLabel39">
    <w:name w:val="ListLabel 39"/>
    <w:qFormat/>
    <w:rPr>
      <w:rFonts w:ascii="Times New Roman" w:hAnsi="Times New Roman" w:cs=""/>
      <w:b/>
      <w:color w:val="000000"/>
      <w:sz w:val="24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rFonts w:ascii="Times New Roman" w:hAnsi="Times New Roman" w:cs="Times New Roman"/>
      <w:color w:val="auto"/>
      <w:u w:val="none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1"/>
    <w:qFormat/>
    <w:rsid w:val="00ca214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c86a9a"/>
    <w:pPr>
      <w:widowControl w:val="false"/>
      <w:spacing w:lineRule="auto" w:line="240" w:before="0" w:after="0"/>
      <w:ind w:left="72" w:hanging="0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NoSpacing">
    <w:name w:val="No Spacing"/>
    <w:uiPriority w:val="1"/>
    <w:qFormat/>
    <w:rsid w:val="00c86a9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86a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Знак Знак Знак Знак"/>
    <w:basedOn w:val="Normal"/>
    <w:qFormat/>
    <w:rsid w:val="00db386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94708a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57f56"/>
    <w:pPr>
      <w:spacing w:before="0" w:after="200"/>
      <w:ind w:left="720" w:hanging="0"/>
      <w:contextualSpacing/>
    </w:pPr>
    <w:rPr/>
  </w:style>
  <w:style w:type="paragraph" w:styleId="71" w:customStyle="1">
    <w:name w:val="71"/>
    <w:basedOn w:val="Normal"/>
    <w:qFormat/>
    <w:rsid w:val="00157f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470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LibreOffice/6.1.4.2$Windows_x86 LibreOffice_project/9d0f32d1f0b509096fd65e0d4bec26ddd1938fd3</Application>
  <Pages>3</Pages>
  <Words>412</Words>
  <Characters>3020</Characters>
  <CharactersWithSpaces>3357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2019-07-07T08:20:00Z</dcterms:created>
  <dc:creator>artur</dc:creator>
  <dc:description/>
  <dc:language>uk-UA</dc:language>
  <cp:lastModifiedBy/>
  <dcterms:modified xsi:type="dcterms:W3CDTF">2019-10-26T15:38:56Z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